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Pembuat Komitmen</w:t>
      </w:r>
    </w:p>
    <w:p>
      <w:pPr>
        <w:ind w:left="567"/>
      </w:pPr>
      <w:r>
        <w:t>Dari</w:t>
        <w:tab/>
        <w:t>: PPTK RAFLI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/ATK/Keu-DLH/2026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DPA dan Anggaran Kas</w:t>
      </w:r>
    </w:p>
    <w:p>
      <w:pPr>
        <w:ind w:left="567"/>
      </w:pPr>
      <w:r>
        <w:t>Hal</w:t>
        <w:tab/>
        <w:t>: Rencana Belanja Alat/Bahan untuk Kegiatan Kantor-Alat Tulis Kantor</w:t>
      </w:r>
    </w:p>
    <w:p/>
    <w:p>
      <w:r>
        <w:t>Dalam rangka kelancaran proses pelaksanaan kegiatan Rencana Perlindungan dan Pengelolaan Lingkungan Hidup (RPPLH) Kabupaten/Kota (2.11.02.2.01) Sub Kegiatan Pengendalian Pelaksanaan RPPLH Kabupaten/Kota (2.11.02.2.01.0002) pada Belanja Alat/Bahan untuk Kegiatan Kantor-Alat Tulis Kantor (5.1.02.01.001.00024) Tahun Anggaran 2026, Sumber Anggaran : APBD, dengan Kode RUP , Pada Dinas Lingkungan Hidup maka dengan ini kami sampaikan rencana belanja yang akan dilaksanakan pengadaannya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Balpoint (Panjang)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1.000</w:t>
            </w:r>
          </w:p>
        </w:tc>
        <w:tc>
          <w:tcPr>
            <w:tcW w:type="dxa" w:w="1440"/>
          </w:tcPr>
          <w:p>
            <w:r>
              <w:t>1.000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Penggaris (Panjang)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5.000</w:t>
            </w:r>
          </w:p>
        </w:tc>
        <w:tc>
          <w:tcPr>
            <w:tcW w:type="dxa" w:w="1440"/>
          </w:tcPr>
          <w:p>
            <w:r>
              <w:t>5.000</w:t>
            </w:r>
          </w:p>
        </w:tc>
      </w:tr>
    </w:tbl>
    <w:p/>
    <w:p>
      <w:r>
        <w:rPr>
          <w:b/>
        </w:rPr>
        <w:t>T O T A L : Rp. 6.000</w:t>
      </w:r>
    </w:p>
    <w:p>
      <w:r>
        <w:rPr>
          <w:b/>
        </w:rPr>
        <w:t>// Enam Ribu Rupiah //</w:t>
      </w:r>
    </w:p>
    <w:p/>
    <w:p>
      <w:r>
        <w:t>DPA dan Anggaran Kas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